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4D0B" w14:textId="77777777" w:rsidR="00680E09" w:rsidRDefault="00680E09" w:rsidP="00680E09">
      <w:pPr>
        <w:pStyle w:val="Standard"/>
        <w:pageBreakBefore/>
        <w:spacing w:after="17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ANEXO A - </w:t>
      </w:r>
      <w:r>
        <w:rPr>
          <w:rFonts w:ascii="Arial" w:hAnsi="Arial" w:cs="Arial"/>
          <w:b/>
          <w:bCs/>
        </w:rPr>
        <w:t>TERMO DE REFERÊNCIA</w:t>
      </w:r>
    </w:p>
    <w:p w14:paraId="4ADF4EBA" w14:textId="77777777" w:rsidR="00680E09" w:rsidRDefault="00680E09" w:rsidP="00680E09">
      <w:pPr>
        <w:pStyle w:val="Standard"/>
        <w:spacing w:after="17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MODELO DE PROPOSTAS DE PREÇOS</w:t>
      </w:r>
    </w:p>
    <w:p w14:paraId="73DC0418" w14:textId="77777777" w:rsidR="00680E09" w:rsidRDefault="00680E09" w:rsidP="00680E09">
      <w:pPr>
        <w:pStyle w:val="Standard"/>
        <w:rPr>
          <w:rFonts w:ascii="Arial" w:hAnsi="Arial"/>
        </w:rPr>
      </w:pPr>
    </w:p>
    <w:p w14:paraId="5A960B59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RAZÃO SOCIAL:</w:t>
      </w:r>
    </w:p>
    <w:p w14:paraId="493E2E46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CNPJ:</w:t>
      </w:r>
    </w:p>
    <w:p w14:paraId="7181FE35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ENDEREÇO:</w:t>
      </w:r>
    </w:p>
    <w:p w14:paraId="23021BBC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E-MAIL e TELEFONE:</w:t>
      </w:r>
    </w:p>
    <w:p w14:paraId="22EEC51A" w14:textId="77777777" w:rsidR="00680E09" w:rsidRDefault="00680E09" w:rsidP="00680E09">
      <w:pPr>
        <w:pStyle w:val="Standard"/>
        <w:rPr>
          <w:rFonts w:ascii="Arial" w:hAnsi="Arial"/>
        </w:rPr>
      </w:pPr>
    </w:p>
    <w:tbl>
      <w:tblPr>
        <w:tblW w:w="9623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419"/>
        <w:gridCol w:w="681"/>
        <w:gridCol w:w="1419"/>
        <w:gridCol w:w="1304"/>
        <w:gridCol w:w="946"/>
      </w:tblGrid>
      <w:tr w:rsidR="00680E09" w14:paraId="62973EB3" w14:textId="77777777" w:rsidTr="00D15D83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4D10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ITEM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537C1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B1E5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UN.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D5C4F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QUANT.</w:t>
            </w:r>
          </w:p>
          <w:p w14:paraId="544B0C6E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ESTIMADA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A79C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E8BB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680E09" w14:paraId="50B77995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D4107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487E1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57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Controlador de Acesso, marca CONTROL ID, modelo IDFLEX IP65</w:t>
            </w:r>
          </w:p>
          <w:p w14:paraId="5B9D9083" w14:textId="77777777" w:rsidR="00680E09" w:rsidRDefault="00680E09" w:rsidP="00680E09">
            <w:pPr>
              <w:pStyle w:val="TableContents"/>
              <w:numPr>
                <w:ilvl w:val="0"/>
                <w:numId w:val="1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Deve possuir software e interface de gerenciamento via rede ethernet TCP/IP;</w:t>
            </w:r>
          </w:p>
          <w:p w14:paraId="46BDE042" w14:textId="77777777" w:rsidR="00680E09" w:rsidRDefault="00680E09" w:rsidP="00680E09">
            <w:pPr>
              <w:pStyle w:val="TableContents"/>
              <w:numPr>
                <w:ilvl w:val="0"/>
                <w:numId w:val="1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Permitir acesso por meio de biometria;</w:t>
            </w:r>
          </w:p>
          <w:p w14:paraId="7D5128AD" w14:textId="77777777" w:rsidR="00680E09" w:rsidRDefault="00680E09" w:rsidP="00680E09">
            <w:pPr>
              <w:pStyle w:val="TableContents"/>
              <w:numPr>
                <w:ilvl w:val="0"/>
                <w:numId w:val="1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Permitir acesso por meio de cartão de proximidade RFID na frequência 125kHz;</w:t>
            </w:r>
          </w:p>
          <w:p w14:paraId="2D9279D9" w14:textId="77777777" w:rsidR="00680E09" w:rsidRDefault="00680E09" w:rsidP="00680E09">
            <w:pPr>
              <w:pStyle w:val="TableContents"/>
              <w:numPr>
                <w:ilvl w:val="0"/>
                <w:numId w:val="1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Possuir no mínimo índice de proteção contra sólidos e líquidos IP65;</w:t>
            </w:r>
          </w:p>
          <w:p w14:paraId="67593D31" w14:textId="77777777" w:rsidR="00680E09" w:rsidRDefault="00680E09" w:rsidP="00680E09">
            <w:pPr>
              <w:pStyle w:val="TableContents"/>
              <w:numPr>
                <w:ilvl w:val="0"/>
                <w:numId w:val="1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Permitir a extração de relatórios de acesso via software de gerência.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D65F4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</w:p>
          <w:p w14:paraId="7C8D23B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</w:p>
          <w:p w14:paraId="4DA04121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F6F6C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2534E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C5B5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7FB2851C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03840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AB109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170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Botão de saída </w:t>
            </w:r>
            <w:proofErr w:type="gramStart"/>
            <w:r>
              <w:rPr>
                <w:rFonts w:ascii="Arial" w:hAnsi="Arial" w:cs="Arial"/>
                <w:spacing w:val="-20"/>
                <w:sz w:val="22"/>
                <w:szCs w:val="22"/>
              </w:rPr>
              <w:t>inox  com</w:t>
            </w:r>
            <w:proofErr w:type="gramEnd"/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caixa BT 3000 IN</w:t>
            </w:r>
          </w:p>
          <w:p w14:paraId="3CA6928B" w14:textId="77777777" w:rsidR="00680E09" w:rsidRDefault="00680E09" w:rsidP="00680E09">
            <w:pPr>
              <w:pStyle w:val="TableContents"/>
              <w:numPr>
                <w:ilvl w:val="0"/>
                <w:numId w:val="2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O botão deverá ser de alta resistência e possuir, no mínimo, vida útil para 500 mil utilizações;</w:t>
            </w:r>
          </w:p>
          <w:p w14:paraId="5D50A407" w14:textId="77777777" w:rsidR="00680E09" w:rsidRDefault="00680E09" w:rsidP="00680E09">
            <w:pPr>
              <w:pStyle w:val="TableContents"/>
              <w:numPr>
                <w:ilvl w:val="0"/>
                <w:numId w:val="2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O botão deverá ser cromado;</w:t>
            </w:r>
          </w:p>
          <w:p w14:paraId="79B18FF5" w14:textId="77777777" w:rsidR="00680E09" w:rsidRDefault="00680E09" w:rsidP="00680E09">
            <w:pPr>
              <w:pStyle w:val="TableContents"/>
              <w:numPr>
                <w:ilvl w:val="0"/>
                <w:numId w:val="2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Deverá possuir acabamento, pronto para instalação com:</w:t>
            </w:r>
          </w:p>
          <w:p w14:paraId="2BECAE07" w14:textId="77777777" w:rsidR="00680E09" w:rsidRDefault="00680E09" w:rsidP="00680E09">
            <w:pPr>
              <w:pStyle w:val="TableContents"/>
              <w:numPr>
                <w:ilvl w:val="0"/>
                <w:numId w:val="2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Dimensões máximas: 90 x 40 x 30 mm;</w:t>
            </w:r>
          </w:p>
          <w:p w14:paraId="31DD1E7B" w14:textId="77777777" w:rsidR="00680E09" w:rsidRDefault="00680E09" w:rsidP="00680E09">
            <w:pPr>
              <w:pStyle w:val="TableContents"/>
              <w:numPr>
                <w:ilvl w:val="0"/>
                <w:numId w:val="2"/>
              </w:numPr>
              <w:snapToGrid w:val="0"/>
              <w:spacing w:before="57" w:after="113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Dimensões mínimas: 80 x 30 x 20 mm.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729A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5C4C2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A1F31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7709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5CB47102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7249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691C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22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Fechadura universal eletromagnética 180KG FE180</w:t>
            </w:r>
          </w:p>
          <w:p w14:paraId="1CD72420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Deve possuir força de tração mínima de 150²kgf;</w:t>
            </w:r>
          </w:p>
          <w:p w14:paraId="0491A802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Tensão de operação 12 a 16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Vdc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62E71A09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Permitir instalação em alvenarias e portas de madeira ou metal;</w:t>
            </w:r>
          </w:p>
          <w:p w14:paraId="56DEA5C8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Emitir status de abertura para o sistema de software de gerência;</w:t>
            </w:r>
          </w:p>
          <w:p w14:paraId="368AD3AE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Potência aproximada 4 W;</w:t>
            </w:r>
          </w:p>
          <w:p w14:paraId="06E794E1" w14:textId="77777777" w:rsidR="00680E09" w:rsidRDefault="00680E09" w:rsidP="00680E09">
            <w:pPr>
              <w:pStyle w:val="TableContents"/>
              <w:numPr>
                <w:ilvl w:val="0"/>
                <w:numId w:val="3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sensor de porta aberta.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726F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EF0E1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BA1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EA95E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3B5C9874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4F4B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EA37F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Acionador de emergência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rearmável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AS 2010</w:t>
            </w:r>
          </w:p>
          <w:p w14:paraId="30632245" w14:textId="77777777" w:rsidR="00680E09" w:rsidRDefault="00680E09" w:rsidP="00680E09">
            <w:pPr>
              <w:pStyle w:val="TableContents"/>
              <w:numPr>
                <w:ilvl w:val="0"/>
                <w:numId w:val="4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Deve possuir botão de acionamento para casos de emergência de modo que o sistema de acionamento da porta desarme;</w:t>
            </w:r>
          </w:p>
          <w:p w14:paraId="66267074" w14:textId="77777777" w:rsidR="00680E09" w:rsidRDefault="00680E09" w:rsidP="00680E09">
            <w:pPr>
              <w:pStyle w:val="TableContents"/>
              <w:numPr>
                <w:ilvl w:val="0"/>
                <w:numId w:val="4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chave de rearme;</w:t>
            </w:r>
          </w:p>
          <w:p w14:paraId="6BB5059A" w14:textId="77777777" w:rsidR="00680E09" w:rsidRDefault="00680E09" w:rsidP="00680E09">
            <w:pPr>
              <w:pStyle w:val="TableContents"/>
              <w:numPr>
                <w:ilvl w:val="0"/>
                <w:numId w:val="4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mecanismo de modo a evitar acionamentos acidentais;</w:t>
            </w:r>
          </w:p>
          <w:p w14:paraId="1AA4E1A1" w14:textId="77777777" w:rsidR="00680E09" w:rsidRDefault="00680E09" w:rsidP="00680E09">
            <w:pPr>
              <w:pStyle w:val="TableContents"/>
              <w:numPr>
                <w:ilvl w:val="0"/>
                <w:numId w:val="4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Emitir alarme sonoro mediante acionamento.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9A8E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614D8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AABD0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2274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3B9FDACE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16B9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94457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Fonte carregador temporizado ID Power</w:t>
            </w:r>
          </w:p>
          <w:p w14:paraId="22DF9832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Tensão de entrada: 90 a 240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Vac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76DE80CA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Tensão de saída: 14,4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Vdc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50FFC24A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entrada para bateria;</w:t>
            </w:r>
          </w:p>
          <w:p w14:paraId="7ECD62ED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Corrente máxima de saída: 2 Amperes;</w:t>
            </w:r>
          </w:p>
          <w:p w14:paraId="28591A55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no mínimo as seguintes LEDs: 1 Carga de bateria;</w:t>
            </w:r>
          </w:p>
          <w:p w14:paraId="7D53E8A5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Baixa tensão da bateria;</w:t>
            </w:r>
          </w:p>
          <w:p w14:paraId="171103DF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Defeito na bateria;</w:t>
            </w:r>
          </w:p>
          <w:p w14:paraId="02CE344B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Normalidade da entrada AC.</w:t>
            </w:r>
          </w:p>
          <w:p w14:paraId="3BB8D027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no mínimo saída para alimentar:</w:t>
            </w:r>
          </w:p>
          <w:p w14:paraId="3C1636C5" w14:textId="77777777" w:rsidR="00680E09" w:rsidRDefault="00680E09" w:rsidP="00D15D83">
            <w:pPr>
              <w:pStyle w:val="TableContents"/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Item 3, fechadura universal eletromagnética 180KG FE 180;</w:t>
            </w:r>
          </w:p>
          <w:p w14:paraId="3B4002CD" w14:textId="77777777" w:rsidR="00680E09" w:rsidRDefault="00680E09" w:rsidP="00D15D83">
            <w:pPr>
              <w:pStyle w:val="TableContents"/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Item 1, 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>Controlador de Acesso, marca CONTROL ID, modelo IDFLEX IP65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21B84725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Chaveador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automático para as correntes alternadas e contínuas;</w:t>
            </w:r>
          </w:p>
          <w:p w14:paraId="358E13A9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Proteção contra curto-circuito;</w:t>
            </w:r>
          </w:p>
          <w:p w14:paraId="2694FD3C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Proteção contra sobrecarga;</w:t>
            </w:r>
          </w:p>
          <w:p w14:paraId="3CC39B2C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Proteção contra inversão dos polos da bateria;</w:t>
            </w:r>
          </w:p>
          <w:p w14:paraId="3724BF8D" w14:textId="77777777" w:rsidR="00680E09" w:rsidRDefault="00680E09" w:rsidP="00680E09">
            <w:pPr>
              <w:pStyle w:val="TableContents"/>
              <w:numPr>
                <w:ilvl w:val="0"/>
                <w:numId w:val="5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Possuir temporizador.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5287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B166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844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C52C3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69DAA861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F41D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6F039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Bateria para a fonte de alimentação 12v alarme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multi</w:t>
            </w:r>
            <w:proofErr w:type="spellEnd"/>
          </w:p>
          <w:p w14:paraId="1DAAA5EF" w14:textId="77777777" w:rsidR="00680E09" w:rsidRDefault="00680E09" w:rsidP="00680E09">
            <w:pPr>
              <w:pStyle w:val="TableContents"/>
              <w:numPr>
                <w:ilvl w:val="0"/>
                <w:numId w:val="6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Tensão nominal 12Vdc;</w:t>
            </w:r>
          </w:p>
          <w:p w14:paraId="36AC729A" w14:textId="77777777" w:rsidR="00680E09" w:rsidRDefault="00680E09" w:rsidP="00680E09">
            <w:pPr>
              <w:pStyle w:val="TableContents"/>
              <w:numPr>
                <w:ilvl w:val="0"/>
                <w:numId w:val="6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Capacidade mínima de 6Ah;</w:t>
            </w:r>
          </w:p>
          <w:p w14:paraId="10B5614E" w14:textId="77777777" w:rsidR="00680E09" w:rsidRDefault="00680E09" w:rsidP="00680E09">
            <w:pPr>
              <w:pStyle w:val="TableContents"/>
              <w:numPr>
                <w:ilvl w:val="0"/>
                <w:numId w:val="6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 compatível com o Item 8, inclusive em relação às dimensões.</w:t>
            </w:r>
          </w:p>
          <w:p w14:paraId="19629B45" w14:textId="77777777" w:rsidR="00680E09" w:rsidRDefault="00680E09" w:rsidP="00680E09">
            <w:pPr>
              <w:pStyle w:val="TableContents"/>
              <w:numPr>
                <w:ilvl w:val="0"/>
                <w:numId w:val="6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A bateria deve ser similar ou superior à marca INTELBRAS, desde que compatível com o item 8, inclusive em relação às dimensões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B66CD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3C447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40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DB0BC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1E714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5D8514F6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815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06987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170"/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20"/>
                <w:sz w:val="22"/>
                <w:szCs w:val="22"/>
              </w:rPr>
              <w:t>Secbox</w:t>
            </w:r>
            <w:proofErr w:type="spellEnd"/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– Controlador de Acesso, marca CONTROL ID - Serial 0A0220.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D3D1A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DFF37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15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A2B2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2459B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70190C21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21069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C6D53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Secbox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V2 – Controlador de Acesso, marca CONTROL ID - Serial 0G0210.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F98B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3505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15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2CD6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E679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69907328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34CFF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819F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Serviço de instalação:</w:t>
            </w:r>
          </w:p>
          <w:p w14:paraId="3FC25FF8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Os pontos lógicos e elétricos que suportarão os itens deste certame, estarão a no máximo 1 metro de distância e prontos para receber a solução;</w:t>
            </w:r>
          </w:p>
          <w:p w14:paraId="1EE87135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Os funcionários da Contratada deverão estar uniformizados e identificados com crachás enquanto nas dependências do Tribunal;</w:t>
            </w:r>
          </w:p>
          <w:p w14:paraId="564BB600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 serviço será acompanhado por responsável técnico que garantirá todos os recursos logísticos necessários para liberação de acessos e conexões das instalações;</w:t>
            </w:r>
          </w:p>
          <w:p w14:paraId="3191FD3C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Contratada será responsável pelo descarte dos lixos produzidos durante a instalação, bem como a limpeza dos resíduos deixados após a instalação;</w:t>
            </w:r>
          </w:p>
          <w:p w14:paraId="48ACBB77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Contratada e seus funcionários devem obedecer aos padrões e normas de segurança do trabalho, garantindo inclusive o uso de EPIs adequados para cada atividade realizada;</w:t>
            </w:r>
          </w:p>
          <w:p w14:paraId="25A0A7D0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instalação deve obedecer aos procedimentos exigidos pelo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fabricante do produto, de modo a prevenir perda total ou parcial da garantia do fabricante;</w:t>
            </w:r>
          </w:p>
          <w:p w14:paraId="1F529967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instalação deverá contemplar todos os controladores de acesso, bem como o software de Gerência para cadastramento e credenciamento de dados biométricos e cartões RFID (Item 1 e 2), programação com diversos tipos de perfis dos controladores de acesso (Item 4) e monitoramento de abertura de portas;</w:t>
            </w:r>
          </w:p>
          <w:p w14:paraId="3ED3B8CB" w14:textId="77777777" w:rsidR="00680E09" w:rsidRDefault="00680E09" w:rsidP="00680E09">
            <w:pPr>
              <w:pStyle w:val="TableContents"/>
              <w:numPr>
                <w:ilvl w:val="0"/>
                <w:numId w:val="7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Durante a instalação do Software, deve ser realizado um treinamento na modalidade “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hands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” de modo a permitir a utilização da solução.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1C4F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</w:p>
          <w:p w14:paraId="50FBF75D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7D81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14:paraId="50D4AC15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82F7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EEF5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25F5A775" w14:textId="77777777" w:rsidTr="00D15D8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EB93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48492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Serviço de Suporte e Atualização:</w:t>
            </w:r>
          </w:p>
          <w:p w14:paraId="1ACE85BF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Para recuperação dos módulos de acesso.</w:t>
            </w:r>
          </w:p>
          <w:p w14:paraId="7FEDA668" w14:textId="77777777" w:rsidR="00680E09" w:rsidRDefault="00680E09" w:rsidP="00680E09">
            <w:pPr>
              <w:pStyle w:val="TableContents"/>
              <w:numPr>
                <w:ilvl w:val="0"/>
                <w:numId w:val="8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Contratada deverá proceder à recuperação dos equipamentos defeituosos em decorrência de atualização obrigatória do firmware, fornecendo suporte técnico em consonância com as orientações do fabricante da solução. Caso sejam detectados bugs ou falhas, a contratada deverá fornecer as atualizações necessárias à correção do problema.</w:t>
            </w:r>
          </w:p>
          <w:p w14:paraId="5B15E28F" w14:textId="77777777" w:rsidR="00680E09" w:rsidRDefault="00680E09" w:rsidP="00D15D83">
            <w:pPr>
              <w:pStyle w:val="TableContents"/>
              <w:widowControl/>
              <w:snapToGrid w:val="0"/>
              <w:spacing w:before="57" w:after="113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Para atualização do sistema de gerenciamento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IDSecure</w:t>
            </w:r>
            <w:proofErr w:type="spellEnd"/>
          </w:p>
          <w:p w14:paraId="71A16EAC" w14:textId="77777777" w:rsidR="00680E09" w:rsidRDefault="00680E09" w:rsidP="00680E09">
            <w:pPr>
              <w:pStyle w:val="TableContents"/>
              <w:numPr>
                <w:ilvl w:val="0"/>
                <w:numId w:val="8"/>
              </w:numPr>
              <w:snapToGrid w:val="0"/>
              <w:spacing w:before="57"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Contratada deverá proceder à atualização do sistema de gerenciamento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IDSecure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quando necessário, devendo garantir as funcionalidades do software, especialmente cadastramento de usuários e controle de acesso, em plena compatibilidade com os módulos instalados, em consonância com as orientações do fabricante da solução. Caso sejam detectados bugs ou falhas, a contratada deverá fornecer as atualizações necessárias à correção do problema.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FBDCF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</w:p>
          <w:p w14:paraId="31C19BD2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39729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14:paraId="324AF1DD" w14:textId="77777777" w:rsidR="00680E09" w:rsidRDefault="00680E09" w:rsidP="00D15D83">
            <w:pPr>
              <w:pStyle w:val="TableContents"/>
              <w:snapToGrid w:val="0"/>
              <w:spacing w:before="57" w:after="113"/>
              <w:ind w:left="113" w:right="113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30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D6968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15E25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 w:rsidR="00680E09" w14:paraId="22066B42" w14:textId="77777777" w:rsidTr="00D15D83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6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5F896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VALOR GLOBAL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E7E77" w14:textId="77777777" w:rsidR="00680E09" w:rsidRDefault="00680E09" w:rsidP="00D15D8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</w:tbl>
    <w:p w14:paraId="6B4D7626" w14:textId="77777777" w:rsidR="00680E09" w:rsidRDefault="00680E09" w:rsidP="00680E09">
      <w:pPr>
        <w:pStyle w:val="Standard"/>
        <w:rPr>
          <w:rFonts w:ascii="Arial" w:hAnsi="Arial"/>
        </w:rPr>
      </w:pPr>
    </w:p>
    <w:p w14:paraId="15BA9255" w14:textId="77777777" w:rsidR="00680E09" w:rsidRDefault="00680E09" w:rsidP="00680E09">
      <w:pPr>
        <w:pStyle w:val="Standard"/>
        <w:rPr>
          <w:rFonts w:ascii="Arial" w:hAnsi="Arial"/>
        </w:rPr>
      </w:pPr>
    </w:p>
    <w:p w14:paraId="318C8A8A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Validade da Proposta:</w:t>
      </w:r>
    </w:p>
    <w:p w14:paraId="77ABAACB" w14:textId="77777777" w:rsidR="00680E09" w:rsidRDefault="00680E09" w:rsidP="00680E09">
      <w:pPr>
        <w:pStyle w:val="Standard"/>
        <w:rPr>
          <w:rFonts w:ascii="Arial" w:hAnsi="Arial"/>
        </w:rPr>
      </w:pPr>
    </w:p>
    <w:p w14:paraId="0FC425B6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Dados Bancários:</w:t>
      </w:r>
    </w:p>
    <w:p w14:paraId="72E7633F" w14:textId="77777777" w:rsidR="00680E09" w:rsidRDefault="00680E09" w:rsidP="00680E09">
      <w:pPr>
        <w:pStyle w:val="Standard"/>
        <w:tabs>
          <w:tab w:val="left" w:pos="2268"/>
        </w:tabs>
        <w:spacing w:after="170" w:line="100" w:lineRule="atLeast"/>
        <w:ind w:left="567"/>
        <w:jc w:val="both"/>
        <w:rPr>
          <w:rFonts w:ascii="Arial" w:eastAsia="Courier New" w:hAnsi="Arial" w:cs="Courier New"/>
          <w:lang w:eastAsia="pt-BR" w:bidi="ar-SA"/>
        </w:rPr>
      </w:pPr>
    </w:p>
    <w:p w14:paraId="31D76791" w14:textId="77777777" w:rsidR="00680E09" w:rsidRDefault="00680E09" w:rsidP="00680E09">
      <w:pPr>
        <w:pStyle w:val="Standard"/>
        <w:tabs>
          <w:tab w:val="left" w:pos="1701"/>
        </w:tabs>
        <w:spacing w:after="170" w:line="100" w:lineRule="atLeast"/>
        <w:jc w:val="both"/>
      </w:pPr>
      <w:r>
        <w:rPr>
          <w:rFonts w:ascii="Arial" w:eastAsia="Courier New" w:hAnsi="Arial" w:cs="Courier New"/>
          <w:bCs/>
          <w:shd w:val="clear" w:color="auto" w:fill="FFFFFF"/>
          <w:lang w:eastAsia="pt-BR" w:bidi="ar-SA"/>
        </w:rPr>
        <w:t>DECLARO estar ciente e concordar com os prazos e condições estabelecidos no Termo de Referência</w:t>
      </w:r>
      <w:r>
        <w:rPr>
          <w:rStyle w:val="WW-Absatz-Standardschriftart111111111111111111111111111111111111111111111111111111111111111111111111111111111111111111"/>
          <w:rFonts w:ascii="Arial" w:eastAsia="Courier New" w:hAnsi="Arial" w:cs="Courier New"/>
          <w:spacing w:val="-10"/>
          <w:lang w:eastAsia="pt-BR" w:bidi="ar-SA"/>
        </w:rPr>
        <w:t>.</w:t>
      </w:r>
    </w:p>
    <w:p w14:paraId="2FACECEF" w14:textId="77777777" w:rsidR="00680E09" w:rsidRDefault="00680E09" w:rsidP="00680E09">
      <w:pPr>
        <w:pStyle w:val="Standard"/>
        <w:rPr>
          <w:rFonts w:ascii="Arial" w:hAnsi="Arial"/>
        </w:rPr>
      </w:pPr>
    </w:p>
    <w:p w14:paraId="180A5CB3" w14:textId="77777777" w:rsidR="00680E09" w:rsidRDefault="00680E09" w:rsidP="00680E09">
      <w:pPr>
        <w:pStyle w:val="Standard"/>
        <w:rPr>
          <w:rFonts w:ascii="Arial" w:hAnsi="Arial"/>
        </w:rPr>
      </w:pPr>
      <w:r>
        <w:rPr>
          <w:rFonts w:ascii="Arial" w:hAnsi="Arial"/>
        </w:rPr>
        <w:t>Local e data:</w:t>
      </w:r>
    </w:p>
    <w:p w14:paraId="60930AA1" w14:textId="77777777" w:rsidR="00680E09" w:rsidRDefault="00680E09" w:rsidP="00680E09">
      <w:pPr>
        <w:pStyle w:val="Standard"/>
        <w:rPr>
          <w:rFonts w:ascii="Arial" w:hAnsi="Arial"/>
        </w:rPr>
      </w:pPr>
    </w:p>
    <w:p w14:paraId="040BA6E5" w14:textId="77777777" w:rsidR="00680E09" w:rsidRDefault="00680E09" w:rsidP="00680E09">
      <w:pPr>
        <w:pStyle w:val="Standard"/>
        <w:rPr>
          <w:rFonts w:ascii="Arial" w:hAnsi="Arial"/>
        </w:rPr>
      </w:pPr>
    </w:p>
    <w:p w14:paraId="4E0E61F4" w14:textId="77777777" w:rsidR="00680E09" w:rsidRDefault="00680E09" w:rsidP="00680E09">
      <w:pPr>
        <w:pStyle w:val="Standard"/>
        <w:rPr>
          <w:rFonts w:ascii="Arial" w:hAnsi="Arial"/>
        </w:rPr>
      </w:pPr>
    </w:p>
    <w:p w14:paraId="18D0A16A" w14:textId="77777777" w:rsidR="00680E09" w:rsidRDefault="00680E09" w:rsidP="00680E0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16CD15D5" w14:textId="77777777" w:rsidR="00680E09" w:rsidRDefault="00680E09" w:rsidP="00680E09">
      <w:pPr>
        <w:pStyle w:val="Standard"/>
        <w:tabs>
          <w:tab w:val="left" w:pos="-31680"/>
          <w:tab w:val="left" w:pos="-31102"/>
          <w:tab w:val="left" w:pos="-30202"/>
          <w:tab w:val="left" w:pos="-29302"/>
          <w:tab w:val="left" w:pos="1134"/>
          <w:tab w:val="left" w:pos="2034"/>
          <w:tab w:val="left" w:pos="2934"/>
          <w:tab w:val="left" w:pos="3834"/>
          <w:tab w:val="left" w:pos="4734"/>
          <w:tab w:val="left" w:pos="5634"/>
          <w:tab w:val="left" w:pos="6534"/>
          <w:tab w:val="left" w:pos="7434"/>
          <w:tab w:val="left" w:pos="8334"/>
          <w:tab w:val="left" w:pos="9234"/>
          <w:tab w:val="left" w:pos="10715"/>
          <w:tab w:val="left" w:pos="11034"/>
          <w:tab w:val="left" w:pos="11934"/>
          <w:tab w:val="left" w:pos="12834"/>
          <w:tab w:val="left" w:pos="13734"/>
          <w:tab w:val="left" w:pos="14634"/>
          <w:tab w:val="left" w:pos="15534"/>
          <w:tab w:val="left" w:pos="16434"/>
          <w:tab w:val="left" w:pos="17334"/>
          <w:tab w:val="left" w:pos="18234"/>
          <w:tab w:val="left" w:pos="19134"/>
          <w:tab w:val="left" w:pos="20034"/>
          <w:tab w:val="left" w:pos="20934"/>
          <w:tab w:val="left" w:pos="21834"/>
          <w:tab w:val="left" w:pos="22734"/>
          <w:tab w:val="left" w:pos="23634"/>
          <w:tab w:val="left" w:pos="24534"/>
          <w:tab w:val="left" w:pos="25434"/>
          <w:tab w:val="left" w:pos="26334"/>
          <w:tab w:val="left" w:pos="27234"/>
          <w:tab w:val="left" w:pos="28134"/>
          <w:tab w:val="left" w:pos="29034"/>
          <w:tab w:val="left" w:pos="29934"/>
          <w:tab w:val="left" w:pos="30834"/>
          <w:tab w:val="left" w:pos="31680"/>
          <w:tab w:val="left" w:pos="31680"/>
        </w:tabs>
        <w:spacing w:before="57" w:after="57"/>
        <w:jc w:val="center"/>
        <w:rPr>
          <w:rFonts w:ascii="Arial" w:eastAsia="Times New Roman" w:hAnsi="Arial" w:cs="Arial"/>
          <w:color w:val="0000FF"/>
          <w:lang w:bidi="ar-SA"/>
        </w:rPr>
      </w:pPr>
      <w:r>
        <w:rPr>
          <w:rStyle w:val="WW-Absatz-Standardschriftart111111111111111111111111111111111111"/>
          <w:color w:val="000000"/>
          <w:lang w:bidi="ar-SA"/>
        </w:rPr>
        <w:t>Assinatura do Representante Legal da Empresa</w:t>
      </w:r>
    </w:p>
    <w:p w14:paraId="3EC5D301" w14:textId="77777777" w:rsidR="009C3FA3" w:rsidRDefault="009C3FA3"/>
    <w:sectPr w:rsidR="009C3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, 'Arial Unicode MS'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793"/>
    <w:multiLevelType w:val="multilevel"/>
    <w:tmpl w:val="8334DBB0"/>
    <w:lvl w:ilvl="0">
      <w:numFmt w:val="bullet"/>
      <w:lvlText w:val="•"/>
      <w:lvlJc w:val="left"/>
      <w:pPr>
        <w:ind w:left="8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0EC60740"/>
    <w:multiLevelType w:val="multilevel"/>
    <w:tmpl w:val="801414D2"/>
    <w:lvl w:ilvl="0">
      <w:numFmt w:val="bullet"/>
      <w:lvlText w:val="•"/>
      <w:lvlJc w:val="left"/>
      <w:pPr>
        <w:ind w:left="91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27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63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9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35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71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307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43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9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" w15:restartNumberingAfterBreak="0">
    <w:nsid w:val="2D542A2A"/>
    <w:multiLevelType w:val="multilevel"/>
    <w:tmpl w:val="93000052"/>
    <w:lvl w:ilvl="0">
      <w:numFmt w:val="bullet"/>
      <w:lvlText w:val="•"/>
      <w:lvlJc w:val="left"/>
      <w:pPr>
        <w:ind w:left="90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26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62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8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34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70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306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42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8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32301C7C"/>
    <w:multiLevelType w:val="multilevel"/>
    <w:tmpl w:val="FBFC8EC8"/>
    <w:lvl w:ilvl="0">
      <w:numFmt w:val="bullet"/>
      <w:lvlText w:val="•"/>
      <w:lvlJc w:val="left"/>
      <w:pPr>
        <w:ind w:left="8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" w15:restartNumberingAfterBreak="0">
    <w:nsid w:val="35BD59C0"/>
    <w:multiLevelType w:val="multilevel"/>
    <w:tmpl w:val="D9A2A7F6"/>
    <w:lvl w:ilvl="0">
      <w:numFmt w:val="bullet"/>
      <w:lvlText w:val="•"/>
      <w:lvlJc w:val="left"/>
      <w:pPr>
        <w:ind w:left="8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5" w15:restartNumberingAfterBreak="0">
    <w:nsid w:val="5E825DE4"/>
    <w:multiLevelType w:val="multilevel"/>
    <w:tmpl w:val="9104BC40"/>
    <w:lvl w:ilvl="0">
      <w:numFmt w:val="bullet"/>
      <w:lvlText w:val="•"/>
      <w:lvlJc w:val="left"/>
      <w:pPr>
        <w:ind w:left="8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64DF0CF4"/>
    <w:multiLevelType w:val="multilevel"/>
    <w:tmpl w:val="47308632"/>
    <w:lvl w:ilvl="0">
      <w:numFmt w:val="bullet"/>
      <w:lvlText w:val="•"/>
      <w:lvlJc w:val="left"/>
      <w:pPr>
        <w:ind w:left="9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3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6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20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3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7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31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4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8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75307C83"/>
    <w:multiLevelType w:val="multilevel"/>
    <w:tmpl w:val="FA0C4598"/>
    <w:lvl w:ilvl="0">
      <w:numFmt w:val="bullet"/>
      <w:lvlText w:val="•"/>
      <w:lvlJc w:val="left"/>
      <w:pPr>
        <w:ind w:left="8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num w:numId="1" w16cid:durableId="1191995606">
    <w:abstractNumId w:val="6"/>
  </w:num>
  <w:num w:numId="2" w16cid:durableId="476529323">
    <w:abstractNumId w:val="1"/>
  </w:num>
  <w:num w:numId="3" w16cid:durableId="1699353727">
    <w:abstractNumId w:val="2"/>
  </w:num>
  <w:num w:numId="4" w16cid:durableId="341588810">
    <w:abstractNumId w:val="4"/>
  </w:num>
  <w:num w:numId="5" w16cid:durableId="1418987259">
    <w:abstractNumId w:val="0"/>
  </w:num>
  <w:num w:numId="6" w16cid:durableId="982351504">
    <w:abstractNumId w:val="5"/>
  </w:num>
  <w:num w:numId="7" w16cid:durableId="454760292">
    <w:abstractNumId w:val="3"/>
  </w:num>
  <w:num w:numId="8" w16cid:durableId="584074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A3"/>
    <w:rsid w:val="004C709F"/>
    <w:rsid w:val="00680E09"/>
    <w:rsid w:val="009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3303"/>
  <w15:chartTrackingRefBased/>
  <w15:docId w15:val="{E201C8D5-65EC-492A-9449-39EB860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3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F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F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F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F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F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F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F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F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F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F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F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F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F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F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FA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80E0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lang/>
      <w14:ligatures w14:val="none"/>
    </w:rPr>
  </w:style>
  <w:style w:type="paragraph" w:customStyle="1" w:styleId="TableContents">
    <w:name w:val="Table Contents"/>
    <w:basedOn w:val="Standard"/>
    <w:rsid w:val="00680E09"/>
    <w:pPr>
      <w:suppressLineNumbers/>
    </w:pPr>
  </w:style>
  <w:style w:type="character" w:customStyle="1" w:styleId="WW-Absatz-Standardschriftart111111111111111111111111111111111111">
    <w:name w:val="WW-Absatz-Standardschriftart111111111111111111111111111111111111"/>
    <w:rsid w:val="00680E0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8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MIRANDA</dc:creator>
  <cp:keywords/>
  <dc:description/>
  <cp:lastModifiedBy>BRUNO MIRANDA</cp:lastModifiedBy>
  <cp:revision>2</cp:revision>
  <dcterms:created xsi:type="dcterms:W3CDTF">2025-02-25T18:44:00Z</dcterms:created>
  <dcterms:modified xsi:type="dcterms:W3CDTF">2025-02-25T18:46:00Z</dcterms:modified>
</cp:coreProperties>
</file>